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B11" w:rsidRDefault="00AB6B11" w:rsidP="00AB6B11">
      <w:pPr>
        <w:pStyle w:val="NormalWeb"/>
        <w:spacing w:before="0" w:beforeAutospacing="0" w:after="0" w:afterAutospacing="0"/>
        <w:ind w:right="-468"/>
        <w:rPr>
          <w:rFonts w:ascii="Calibri" w:hAnsi="Calibri" w:cs="Arial"/>
          <w:b/>
          <w:noProof/>
          <w:color w:val="000000"/>
          <w:sz w:val="10"/>
          <w:szCs w:val="10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2795270</wp:posOffset>
            </wp:positionH>
            <wp:positionV relativeFrom="paragraph">
              <wp:posOffset>0</wp:posOffset>
            </wp:positionV>
            <wp:extent cx="495300" cy="271780"/>
            <wp:effectExtent l="0" t="0" r="0" b="0"/>
            <wp:wrapSquare wrapText="right"/>
            <wp:docPr id="1" name="Image 1" descr="drapeau Sénég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drapeau Sénéga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7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B6B11" w:rsidRDefault="00AB6B11" w:rsidP="00AB6B11">
      <w:pPr>
        <w:pStyle w:val="NormalWeb"/>
        <w:spacing w:before="0" w:beforeAutospacing="0" w:after="0" w:afterAutospacing="0"/>
        <w:ind w:right="-468"/>
        <w:rPr>
          <w:rFonts w:ascii="Calibri" w:hAnsi="Calibri" w:cs="Arial"/>
          <w:b/>
          <w:bCs/>
          <w:color w:val="000000"/>
          <w:sz w:val="10"/>
          <w:szCs w:val="10"/>
        </w:rPr>
      </w:pPr>
    </w:p>
    <w:p w:rsidR="00AB6B11" w:rsidRDefault="00AB6B11" w:rsidP="00AB6B11">
      <w:pPr>
        <w:pStyle w:val="NormalWeb"/>
        <w:spacing w:before="0" w:beforeAutospacing="0" w:after="0" w:afterAutospacing="0"/>
        <w:ind w:right="-468"/>
        <w:jc w:val="center"/>
        <w:rPr>
          <w:rFonts w:ascii="Trebuchet MS" w:hAnsi="Trebuchet MS" w:cs="Arial"/>
          <w:b/>
          <w:bCs/>
          <w:color w:val="000000"/>
        </w:rPr>
      </w:pPr>
    </w:p>
    <w:p w:rsidR="00AB6B11" w:rsidRPr="00874E97" w:rsidRDefault="00AB6B11" w:rsidP="00AB6B11">
      <w:pPr>
        <w:pStyle w:val="NormalWeb"/>
        <w:spacing w:before="0" w:beforeAutospacing="0" w:after="0" w:afterAutospacing="0"/>
        <w:ind w:right="-468"/>
        <w:jc w:val="center"/>
        <w:rPr>
          <w:rFonts w:ascii="Trebuchet MS" w:hAnsi="Trebuchet MS" w:cs="Arial"/>
          <w:b/>
          <w:bCs/>
          <w:color w:val="000000"/>
          <w:sz w:val="20"/>
        </w:rPr>
      </w:pPr>
      <w:r w:rsidRPr="00874E97">
        <w:rPr>
          <w:rFonts w:ascii="Trebuchet MS" w:hAnsi="Trebuchet MS" w:cs="Arial"/>
          <w:b/>
          <w:bCs/>
          <w:color w:val="000000"/>
          <w:sz w:val="20"/>
        </w:rPr>
        <w:t>REPUBLIQUE DU SENEGAL</w:t>
      </w:r>
    </w:p>
    <w:p w:rsidR="00AB6B11" w:rsidRPr="00874E97" w:rsidRDefault="00AB6B11" w:rsidP="00AB6B11">
      <w:pPr>
        <w:pStyle w:val="NormalWeb"/>
        <w:spacing w:before="0" w:beforeAutospacing="0" w:after="0" w:afterAutospacing="0"/>
        <w:ind w:right="-468"/>
        <w:jc w:val="center"/>
        <w:rPr>
          <w:rFonts w:ascii="Trebuchet MS" w:hAnsi="Trebuchet MS" w:cs="Arial"/>
          <w:iCs/>
          <w:color w:val="000000"/>
          <w:sz w:val="14"/>
          <w:szCs w:val="18"/>
        </w:rPr>
      </w:pPr>
      <w:r w:rsidRPr="00874E97">
        <w:rPr>
          <w:rFonts w:ascii="Trebuchet MS" w:hAnsi="Trebuchet MS" w:cs="Arial"/>
          <w:iCs/>
          <w:color w:val="000000"/>
          <w:sz w:val="14"/>
          <w:szCs w:val="18"/>
        </w:rPr>
        <w:t>Un Peuple – Un But – Une Foi</w:t>
      </w:r>
    </w:p>
    <w:p w:rsidR="00AB6B11" w:rsidRPr="00874E97" w:rsidRDefault="00AB6B11" w:rsidP="00AB6B11">
      <w:pPr>
        <w:pStyle w:val="NormalWeb"/>
        <w:spacing w:before="0" w:beforeAutospacing="0" w:after="0" w:afterAutospacing="0"/>
        <w:ind w:left="-720" w:right="-828" w:firstLine="12"/>
        <w:jc w:val="center"/>
        <w:rPr>
          <w:rFonts w:ascii="Trebuchet MS" w:hAnsi="Trebuchet MS" w:cs="Arial"/>
          <w:i/>
          <w:iCs/>
          <w:color w:val="000000"/>
          <w:sz w:val="14"/>
          <w:szCs w:val="18"/>
        </w:rPr>
      </w:pPr>
      <w:r w:rsidRPr="00874E97">
        <w:rPr>
          <w:rFonts w:ascii="Trebuchet MS" w:hAnsi="Trebuchet MS" w:cs="Arial"/>
          <w:b/>
          <w:bCs/>
          <w:color w:val="000000"/>
          <w:sz w:val="6"/>
          <w:szCs w:val="10"/>
        </w:rPr>
        <w:t>----------------------------</w:t>
      </w:r>
    </w:p>
    <w:p w:rsidR="00AB6B11" w:rsidRPr="00874E97" w:rsidRDefault="00AB6B11" w:rsidP="00AB6B11">
      <w:pPr>
        <w:pStyle w:val="NormalWeb"/>
        <w:spacing w:before="0" w:beforeAutospacing="0" w:after="0" w:afterAutospacing="0"/>
        <w:ind w:left="5670" w:right="-828" w:hanging="6570"/>
        <w:jc w:val="center"/>
        <w:rPr>
          <w:rFonts w:ascii="Trebuchet MS" w:hAnsi="Trebuchet MS"/>
          <w:sz w:val="18"/>
          <w:szCs w:val="18"/>
        </w:rPr>
      </w:pPr>
      <w:r>
        <w:rPr>
          <w:rFonts w:ascii="Trebuchet MS" w:hAnsi="Trebuchet MS" w:cs="Arial"/>
          <w:b/>
          <w:bCs/>
          <w:color w:val="000000"/>
          <w:sz w:val="22"/>
          <w:szCs w:val="22"/>
        </w:rPr>
        <w:t xml:space="preserve">      MINISTERE DES FINANCES ET DU BUDGET</w:t>
      </w:r>
    </w:p>
    <w:p w:rsidR="00AB6B11" w:rsidRPr="00874E97" w:rsidRDefault="00AB6B11" w:rsidP="00AB6B11">
      <w:pPr>
        <w:pStyle w:val="NormalWeb"/>
        <w:spacing w:before="0" w:beforeAutospacing="0" w:after="0" w:afterAutospacing="0"/>
        <w:ind w:left="-720" w:right="-828" w:firstLine="12"/>
        <w:jc w:val="center"/>
        <w:rPr>
          <w:rFonts w:ascii="Trebuchet MS" w:hAnsi="Trebuchet MS" w:cs="Arial"/>
          <w:b/>
          <w:bCs/>
          <w:color w:val="000000"/>
          <w:sz w:val="6"/>
          <w:szCs w:val="10"/>
        </w:rPr>
      </w:pPr>
      <w:r w:rsidRPr="00874E97">
        <w:rPr>
          <w:rFonts w:ascii="Trebuchet MS" w:hAnsi="Trebuchet MS" w:cs="Arial"/>
          <w:b/>
          <w:bCs/>
          <w:color w:val="000000"/>
          <w:sz w:val="6"/>
          <w:szCs w:val="10"/>
        </w:rPr>
        <w:t>----------------------------</w:t>
      </w:r>
    </w:p>
    <w:p w:rsidR="00AB6B11" w:rsidRPr="00874E97" w:rsidRDefault="00AB6B11" w:rsidP="00AB6B11">
      <w:pPr>
        <w:pStyle w:val="NormalWeb"/>
        <w:spacing w:before="0" w:beforeAutospacing="0" w:after="0" w:afterAutospacing="0"/>
        <w:ind w:left="-720" w:right="-828" w:firstLine="12"/>
        <w:jc w:val="center"/>
        <w:rPr>
          <w:rFonts w:ascii="Trebuchet MS" w:hAnsi="Trebuchet MS" w:cs="Arial"/>
          <w:iCs/>
          <w:color w:val="000000"/>
          <w:sz w:val="22"/>
          <w:szCs w:val="18"/>
        </w:rPr>
      </w:pPr>
      <w:r w:rsidRPr="00874E97">
        <w:rPr>
          <w:rFonts w:ascii="Trebuchet MS" w:hAnsi="Trebuchet MS" w:cs="Arial"/>
          <w:iCs/>
          <w:color w:val="000000"/>
          <w:sz w:val="22"/>
          <w:szCs w:val="18"/>
        </w:rPr>
        <w:t>Cellule de Communication</w:t>
      </w:r>
    </w:p>
    <w:p w:rsidR="00AB6B11" w:rsidRPr="00DD1CA2" w:rsidRDefault="00AB6B11" w:rsidP="00AB6B11">
      <w:pPr>
        <w:pStyle w:val="NormalWeb"/>
        <w:spacing w:before="0" w:beforeAutospacing="0" w:after="0" w:afterAutospacing="0"/>
        <w:ind w:left="-720" w:right="-828" w:firstLine="12"/>
        <w:jc w:val="center"/>
        <w:rPr>
          <w:rFonts w:ascii="Trebuchet MS" w:hAnsi="Trebuchet MS" w:cs="Arial"/>
          <w:iCs/>
          <w:color w:val="000000"/>
          <w:sz w:val="28"/>
          <w:szCs w:val="18"/>
        </w:rPr>
      </w:pPr>
    </w:p>
    <w:p w:rsidR="00AB6B11" w:rsidRPr="00D92149" w:rsidRDefault="00D92149" w:rsidP="00AB6B11">
      <w:pPr>
        <w:rPr>
          <w:rFonts w:ascii="Arial" w:hAnsi="Arial" w:cs="Arial"/>
          <w:b/>
          <w:sz w:val="24"/>
          <w:szCs w:val="24"/>
        </w:rPr>
      </w:pPr>
      <w:r w:rsidRPr="00D92149">
        <w:rPr>
          <w:rFonts w:ascii="Arial" w:hAnsi="Arial" w:cs="Arial"/>
          <w:b/>
          <w:sz w:val="24"/>
          <w:szCs w:val="24"/>
        </w:rPr>
        <w:t>Dakar, le 18 juin 2019</w:t>
      </w:r>
    </w:p>
    <w:p w:rsidR="00AB6B11" w:rsidRPr="008526F2" w:rsidRDefault="00AB6B11" w:rsidP="00AB6B11">
      <w:pPr>
        <w:rPr>
          <w:rFonts w:ascii="Albertus Medium" w:hAnsi="Albertus Medium"/>
          <w:sz w:val="8"/>
          <w:szCs w:val="28"/>
        </w:rPr>
      </w:pPr>
    </w:p>
    <w:p w:rsidR="00AB6B11" w:rsidRPr="00E2641D" w:rsidRDefault="00AB6B11" w:rsidP="00AB6B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doni MT Black" w:hAnsi="Bodoni MT Black"/>
          <w:sz w:val="28"/>
        </w:rPr>
      </w:pPr>
      <w:r w:rsidRPr="00E2641D">
        <w:rPr>
          <w:rFonts w:ascii="Bodoni MT Black" w:hAnsi="Bodoni MT Black"/>
          <w:sz w:val="28"/>
        </w:rPr>
        <w:t>COMMUNIQUE DE PRESSE</w:t>
      </w:r>
      <w:r w:rsidR="00282F4A">
        <w:rPr>
          <w:rFonts w:ascii="Bodoni MT Black" w:hAnsi="Bodoni MT Black"/>
          <w:sz w:val="28"/>
        </w:rPr>
        <w:t xml:space="preserve"> SUR LA TRESORERIE DE L’ETAT</w:t>
      </w:r>
      <w:bookmarkStart w:id="0" w:name="_GoBack"/>
      <w:bookmarkEnd w:id="0"/>
    </w:p>
    <w:p w:rsidR="00D92149" w:rsidRDefault="00D92149" w:rsidP="00AB6B11">
      <w:pPr>
        <w:spacing w:after="0" w:line="240" w:lineRule="auto"/>
        <w:jc w:val="center"/>
        <w:rPr>
          <w:rFonts w:ascii="Britannic Bold" w:hAnsi="Britannic Bold"/>
          <w:sz w:val="28"/>
        </w:rPr>
      </w:pPr>
    </w:p>
    <w:p w:rsidR="00D92149" w:rsidRDefault="00D92149" w:rsidP="00AB6B11">
      <w:pPr>
        <w:spacing w:after="0" w:line="240" w:lineRule="auto"/>
        <w:jc w:val="center"/>
        <w:rPr>
          <w:rFonts w:ascii="Britannic Bold" w:hAnsi="Britannic Bold"/>
          <w:sz w:val="28"/>
        </w:rPr>
      </w:pPr>
    </w:p>
    <w:p w:rsidR="00D92149" w:rsidRPr="00D92149" w:rsidRDefault="00D92149" w:rsidP="00D92149">
      <w:pPr>
        <w:jc w:val="both"/>
        <w:rPr>
          <w:rFonts w:ascii="Arial" w:hAnsi="Arial" w:cs="Arial"/>
          <w:sz w:val="28"/>
          <w:szCs w:val="28"/>
        </w:rPr>
      </w:pPr>
      <w:r w:rsidRPr="00D92149">
        <w:rPr>
          <w:rFonts w:ascii="Arial" w:hAnsi="Arial" w:cs="Arial"/>
          <w:sz w:val="28"/>
          <w:szCs w:val="28"/>
        </w:rPr>
        <w:t>Des informations véhiculées à travers la presse au cours de ces derniers jours font état de tensions de trésorerie au niveau de l’Etat et d’accumulation d’arriérés de paiements importants vis-à-vis d’entreprises exécutant des investissements publics. Le Ministère des Finances et du Budget tient à apporter les précisions suivantes.</w:t>
      </w:r>
    </w:p>
    <w:p w:rsidR="00D92149" w:rsidRPr="00D92149" w:rsidRDefault="00D92149" w:rsidP="00D92149">
      <w:pPr>
        <w:jc w:val="both"/>
        <w:rPr>
          <w:rFonts w:ascii="Arial" w:hAnsi="Arial" w:cs="Arial"/>
          <w:sz w:val="28"/>
          <w:szCs w:val="28"/>
        </w:rPr>
      </w:pPr>
      <w:r w:rsidRPr="001E10C5">
        <w:rPr>
          <w:rFonts w:ascii="Arial" w:hAnsi="Arial" w:cs="Arial"/>
          <w:b/>
          <w:sz w:val="28"/>
          <w:szCs w:val="28"/>
        </w:rPr>
        <w:t>Le processus d’exécution du budget 2019 se déroule normalement avec un rythme de recouvrement correct des recettes ainsi qu’une prise en charge satisfaisante des dépenses</w:t>
      </w:r>
      <w:r w:rsidRPr="00D92149">
        <w:rPr>
          <w:rFonts w:ascii="Arial" w:hAnsi="Arial" w:cs="Arial"/>
          <w:sz w:val="28"/>
          <w:szCs w:val="28"/>
        </w:rPr>
        <w:t xml:space="preserve">. </w:t>
      </w:r>
    </w:p>
    <w:p w:rsidR="00D92149" w:rsidRPr="00D92149" w:rsidRDefault="00D92149" w:rsidP="00D92149">
      <w:pPr>
        <w:jc w:val="both"/>
        <w:rPr>
          <w:rFonts w:ascii="Arial" w:hAnsi="Arial" w:cs="Arial"/>
          <w:sz w:val="28"/>
          <w:szCs w:val="28"/>
        </w:rPr>
      </w:pPr>
      <w:r w:rsidRPr="00D92149">
        <w:rPr>
          <w:rFonts w:ascii="Arial" w:hAnsi="Arial" w:cs="Arial"/>
          <w:sz w:val="28"/>
          <w:szCs w:val="28"/>
        </w:rPr>
        <w:t xml:space="preserve">Au titre des dépenses financées sur ressources internes, </w:t>
      </w:r>
      <w:r w:rsidRPr="00D92149">
        <w:rPr>
          <w:rFonts w:ascii="Arial" w:hAnsi="Arial" w:cs="Arial"/>
          <w:b/>
          <w:sz w:val="28"/>
          <w:szCs w:val="28"/>
        </w:rPr>
        <w:t>depuis le 15 avril 2019</w:t>
      </w:r>
      <w:r w:rsidRPr="00D92149">
        <w:rPr>
          <w:rFonts w:ascii="Arial" w:hAnsi="Arial" w:cs="Arial"/>
          <w:sz w:val="28"/>
          <w:szCs w:val="28"/>
        </w:rPr>
        <w:t xml:space="preserve">, une enveloppe globale d’un montant de </w:t>
      </w:r>
      <w:r w:rsidRPr="00D92149">
        <w:rPr>
          <w:rFonts w:ascii="Arial" w:hAnsi="Arial" w:cs="Arial"/>
          <w:b/>
          <w:sz w:val="28"/>
          <w:szCs w:val="28"/>
        </w:rPr>
        <w:t>quatre cent quatre-vingt-onze milliards neuf cent quarante-quatre millions (491,944 milliards</w:t>
      </w:r>
      <w:r w:rsidRPr="00D92149">
        <w:rPr>
          <w:rFonts w:ascii="Arial" w:hAnsi="Arial" w:cs="Arial"/>
          <w:sz w:val="28"/>
          <w:szCs w:val="28"/>
        </w:rPr>
        <w:t>)  de FCFA  a été mobilisée pour la prise en charge :</w:t>
      </w:r>
    </w:p>
    <w:p w:rsidR="00D92149" w:rsidRPr="00D92149" w:rsidRDefault="00D92149" w:rsidP="00D92149">
      <w:pPr>
        <w:pStyle w:val="ListParagraph"/>
        <w:numPr>
          <w:ilvl w:val="0"/>
          <w:numId w:val="1"/>
        </w:numPr>
        <w:spacing w:after="0"/>
        <w:ind w:left="714" w:hanging="357"/>
        <w:jc w:val="both"/>
        <w:rPr>
          <w:rFonts w:ascii="Arial" w:hAnsi="Arial" w:cs="Arial"/>
          <w:sz w:val="28"/>
          <w:szCs w:val="28"/>
        </w:rPr>
      </w:pPr>
      <w:r w:rsidRPr="00D92149">
        <w:rPr>
          <w:rFonts w:ascii="Arial" w:hAnsi="Arial" w:cs="Arial"/>
          <w:sz w:val="28"/>
          <w:szCs w:val="28"/>
        </w:rPr>
        <w:t>des dépenses de personnel pour </w:t>
      </w:r>
      <w:r w:rsidRPr="00D92149">
        <w:rPr>
          <w:rFonts w:ascii="Arial" w:hAnsi="Arial" w:cs="Arial"/>
          <w:b/>
          <w:sz w:val="28"/>
          <w:szCs w:val="28"/>
        </w:rPr>
        <w:t>146,490 milliards de FCFA ;</w:t>
      </w:r>
    </w:p>
    <w:p w:rsidR="00D92149" w:rsidRPr="00D92149" w:rsidRDefault="00D92149" w:rsidP="00D92149">
      <w:pPr>
        <w:pStyle w:val="ListParagraph"/>
        <w:spacing w:after="0" w:line="240" w:lineRule="auto"/>
        <w:ind w:left="714"/>
        <w:jc w:val="both"/>
        <w:rPr>
          <w:rFonts w:ascii="Arial" w:hAnsi="Arial" w:cs="Arial"/>
          <w:b/>
          <w:sz w:val="28"/>
          <w:szCs w:val="28"/>
        </w:rPr>
      </w:pPr>
    </w:p>
    <w:p w:rsidR="00D92149" w:rsidRPr="00D92149" w:rsidRDefault="00D92149" w:rsidP="00D92149">
      <w:pPr>
        <w:pStyle w:val="ListParagraph"/>
        <w:numPr>
          <w:ilvl w:val="0"/>
          <w:numId w:val="1"/>
        </w:numPr>
        <w:spacing w:after="0"/>
        <w:ind w:left="714" w:hanging="357"/>
        <w:jc w:val="both"/>
        <w:rPr>
          <w:rFonts w:ascii="Arial" w:hAnsi="Arial" w:cs="Arial"/>
          <w:b/>
          <w:sz w:val="28"/>
          <w:szCs w:val="28"/>
        </w:rPr>
      </w:pPr>
      <w:r w:rsidRPr="00D92149">
        <w:rPr>
          <w:rFonts w:ascii="Arial" w:hAnsi="Arial" w:cs="Arial"/>
          <w:sz w:val="28"/>
          <w:szCs w:val="28"/>
        </w:rPr>
        <w:t xml:space="preserve">du remboursement du service de la dette publique pour </w:t>
      </w:r>
      <w:r w:rsidRPr="00D92149">
        <w:rPr>
          <w:rFonts w:ascii="Arial" w:hAnsi="Arial" w:cs="Arial"/>
          <w:b/>
          <w:sz w:val="28"/>
          <w:szCs w:val="28"/>
        </w:rPr>
        <w:t>117,216 milliards de FCFA ;</w:t>
      </w:r>
    </w:p>
    <w:p w:rsidR="00D92149" w:rsidRPr="00D92149" w:rsidRDefault="00D92149" w:rsidP="00D92149">
      <w:pPr>
        <w:pStyle w:val="ListParagraph"/>
        <w:spacing w:after="0"/>
        <w:ind w:left="714"/>
        <w:jc w:val="both"/>
        <w:rPr>
          <w:rFonts w:ascii="Arial" w:hAnsi="Arial" w:cs="Arial"/>
          <w:sz w:val="28"/>
          <w:szCs w:val="28"/>
        </w:rPr>
      </w:pPr>
    </w:p>
    <w:p w:rsidR="00D92149" w:rsidRPr="00D92149" w:rsidRDefault="00D92149" w:rsidP="00D92149">
      <w:pPr>
        <w:pStyle w:val="ListParagraph"/>
        <w:numPr>
          <w:ilvl w:val="0"/>
          <w:numId w:val="1"/>
        </w:numPr>
        <w:spacing w:after="0"/>
        <w:ind w:left="714" w:hanging="357"/>
        <w:jc w:val="both"/>
        <w:rPr>
          <w:rFonts w:ascii="Arial" w:hAnsi="Arial" w:cs="Arial"/>
          <w:sz w:val="28"/>
          <w:szCs w:val="28"/>
        </w:rPr>
      </w:pPr>
      <w:r w:rsidRPr="00D92149">
        <w:rPr>
          <w:rFonts w:ascii="Arial" w:hAnsi="Arial" w:cs="Arial"/>
          <w:sz w:val="28"/>
          <w:szCs w:val="28"/>
        </w:rPr>
        <w:t xml:space="preserve">du paiement des prestataires de services et des décomptes dus aux entreprises exécutant des travaux au titre des projets et programmes d’investissements publics pour </w:t>
      </w:r>
      <w:r w:rsidRPr="00D92149">
        <w:rPr>
          <w:rFonts w:ascii="Arial" w:hAnsi="Arial" w:cs="Arial"/>
          <w:b/>
          <w:sz w:val="28"/>
          <w:szCs w:val="28"/>
        </w:rPr>
        <w:t>228,239 milliards de FCFA</w:t>
      </w:r>
      <w:r w:rsidRPr="00D92149">
        <w:rPr>
          <w:rFonts w:ascii="Arial" w:hAnsi="Arial" w:cs="Arial"/>
          <w:sz w:val="28"/>
          <w:szCs w:val="28"/>
        </w:rPr>
        <w:t>.</w:t>
      </w:r>
    </w:p>
    <w:p w:rsidR="00D92149" w:rsidRPr="00D92149" w:rsidRDefault="00D92149" w:rsidP="00D92149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D92149" w:rsidRPr="00D92149" w:rsidRDefault="00D92149" w:rsidP="00D92149">
      <w:pPr>
        <w:jc w:val="both"/>
        <w:rPr>
          <w:rFonts w:ascii="Arial" w:hAnsi="Arial" w:cs="Arial"/>
          <w:sz w:val="28"/>
          <w:szCs w:val="28"/>
        </w:rPr>
      </w:pPr>
      <w:r w:rsidRPr="00D92149">
        <w:rPr>
          <w:rFonts w:ascii="Arial" w:hAnsi="Arial" w:cs="Arial"/>
          <w:sz w:val="28"/>
          <w:szCs w:val="28"/>
        </w:rPr>
        <w:t xml:space="preserve">Pour les dépenses financées sur ressources externes, depuis le </w:t>
      </w:r>
      <w:r w:rsidRPr="00D92149">
        <w:rPr>
          <w:rFonts w:ascii="Arial" w:hAnsi="Arial" w:cs="Arial"/>
          <w:b/>
          <w:sz w:val="28"/>
          <w:szCs w:val="28"/>
        </w:rPr>
        <w:t>15 avril 2019</w:t>
      </w:r>
      <w:r w:rsidRPr="00D92149">
        <w:rPr>
          <w:rFonts w:ascii="Arial" w:hAnsi="Arial" w:cs="Arial"/>
          <w:sz w:val="28"/>
          <w:szCs w:val="28"/>
        </w:rPr>
        <w:t xml:space="preserve">, un montant total de soixante-sept milliards cent millions </w:t>
      </w:r>
      <w:r w:rsidRPr="00D92149">
        <w:rPr>
          <w:rFonts w:ascii="Arial" w:hAnsi="Arial" w:cs="Arial"/>
          <w:b/>
          <w:sz w:val="28"/>
          <w:szCs w:val="28"/>
        </w:rPr>
        <w:t>(67,1 milliards de FCFA</w:t>
      </w:r>
      <w:r w:rsidRPr="00D92149">
        <w:rPr>
          <w:rFonts w:ascii="Arial" w:hAnsi="Arial" w:cs="Arial"/>
          <w:sz w:val="28"/>
          <w:szCs w:val="28"/>
        </w:rPr>
        <w:t>) a été payé dont vingt-huit milliards deux cents millions (</w:t>
      </w:r>
      <w:r w:rsidRPr="00D92149">
        <w:rPr>
          <w:rFonts w:ascii="Arial" w:hAnsi="Arial" w:cs="Arial"/>
          <w:b/>
          <w:sz w:val="28"/>
          <w:szCs w:val="28"/>
        </w:rPr>
        <w:t>28,2 milliards de FCFA)</w:t>
      </w:r>
      <w:r w:rsidRPr="00D92149">
        <w:rPr>
          <w:rFonts w:ascii="Arial" w:hAnsi="Arial" w:cs="Arial"/>
          <w:sz w:val="28"/>
          <w:szCs w:val="28"/>
        </w:rPr>
        <w:t xml:space="preserve"> pour le secteur des BTP et le TER.</w:t>
      </w:r>
    </w:p>
    <w:p w:rsidR="00D92149" w:rsidRPr="00D92149" w:rsidRDefault="00D92149" w:rsidP="00D92149">
      <w:pPr>
        <w:spacing w:after="0"/>
        <w:jc w:val="both"/>
        <w:rPr>
          <w:rFonts w:ascii="Arial" w:eastAsia="Tahoma" w:hAnsi="Arial" w:cs="Arial"/>
          <w:color w:val="000000"/>
          <w:kern w:val="24"/>
          <w:sz w:val="28"/>
          <w:szCs w:val="28"/>
        </w:rPr>
      </w:pPr>
      <w:r w:rsidRPr="00D92149">
        <w:rPr>
          <w:rFonts w:ascii="Arial" w:hAnsi="Arial" w:cs="Arial"/>
          <w:sz w:val="28"/>
          <w:szCs w:val="28"/>
        </w:rPr>
        <w:lastRenderedPageBreak/>
        <w:t xml:space="preserve">A ce jour, les critères </w:t>
      </w:r>
      <w:r w:rsidRPr="00D92149">
        <w:rPr>
          <w:rFonts w:ascii="Arial" w:hAnsi="Arial" w:cs="Arial"/>
          <w:sz w:val="28"/>
          <w:szCs w:val="28"/>
          <w:lang w:val="fr-SN"/>
        </w:rPr>
        <w:t>d’évaluation du P</w:t>
      </w:r>
      <w:r w:rsidRPr="00D92149">
        <w:rPr>
          <w:rFonts w:ascii="Arial" w:hAnsi="Arial" w:cs="Arial"/>
          <w:sz w:val="28"/>
          <w:szCs w:val="28"/>
        </w:rPr>
        <w:t>rogramme Economique et Financier du Sénégal sont respectés, notamment le</w:t>
      </w:r>
      <w:r w:rsidR="006E2E94">
        <w:rPr>
          <w:rFonts w:ascii="Arial" w:hAnsi="Arial" w:cs="Arial"/>
          <w:sz w:val="28"/>
          <w:szCs w:val="28"/>
        </w:rPr>
        <w:t xml:space="preserve"> </w:t>
      </w:r>
      <w:r w:rsidRPr="00D92149">
        <w:rPr>
          <w:rFonts w:ascii="Arial" w:eastAsia="Tahoma" w:hAnsi="Arial" w:cs="Arial"/>
          <w:color w:val="000000"/>
          <w:kern w:val="24"/>
          <w:sz w:val="28"/>
          <w:szCs w:val="28"/>
        </w:rPr>
        <w:t xml:space="preserve">plafond trimestriel des instances de </w:t>
      </w:r>
      <w:r w:rsidRPr="00D92149">
        <w:rPr>
          <w:rFonts w:ascii="Arial" w:eastAsia="Tahoma" w:hAnsi="Arial" w:cs="Arial"/>
          <w:color w:val="000000"/>
          <w:kern w:val="24"/>
          <w:sz w:val="28"/>
          <w:szCs w:val="28"/>
          <w:lang w:val="fr-SN"/>
        </w:rPr>
        <w:t>paiements</w:t>
      </w:r>
      <w:r w:rsidRPr="00D92149">
        <w:rPr>
          <w:rFonts w:ascii="Arial" w:eastAsia="Tahoma" w:hAnsi="Arial" w:cs="Arial"/>
          <w:color w:val="000000"/>
          <w:kern w:val="24"/>
          <w:sz w:val="28"/>
          <w:szCs w:val="28"/>
        </w:rPr>
        <w:t xml:space="preserve"> et le plancher des dépenses sociales.</w:t>
      </w:r>
    </w:p>
    <w:p w:rsidR="00D92149" w:rsidRPr="00D92149" w:rsidRDefault="00D92149" w:rsidP="00D92149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D92149" w:rsidRPr="00D92149" w:rsidRDefault="00D92149" w:rsidP="00D92149">
      <w:pPr>
        <w:jc w:val="both"/>
        <w:rPr>
          <w:rFonts w:ascii="Arial" w:hAnsi="Arial" w:cs="Arial"/>
          <w:sz w:val="28"/>
          <w:szCs w:val="28"/>
        </w:rPr>
      </w:pPr>
      <w:r w:rsidRPr="00D92149">
        <w:rPr>
          <w:rFonts w:ascii="Arial" w:hAnsi="Arial" w:cs="Arial"/>
          <w:sz w:val="28"/>
          <w:szCs w:val="28"/>
        </w:rPr>
        <w:t>En définitive, toutes les dépenses arrivées à maturité sont prises en compte au niveau de nos services compétents.</w:t>
      </w:r>
    </w:p>
    <w:p w:rsidR="00D92149" w:rsidRDefault="00D92149" w:rsidP="00D92149">
      <w:pPr>
        <w:ind w:left="3540"/>
        <w:jc w:val="both"/>
        <w:rPr>
          <w:rFonts w:ascii="Arial" w:hAnsi="Arial" w:cs="Arial"/>
          <w:b/>
          <w:sz w:val="28"/>
          <w:szCs w:val="28"/>
        </w:rPr>
      </w:pPr>
    </w:p>
    <w:p w:rsidR="00D92149" w:rsidRPr="00D92149" w:rsidRDefault="00D92149" w:rsidP="00D92149">
      <w:pPr>
        <w:ind w:left="3540"/>
        <w:jc w:val="both"/>
        <w:rPr>
          <w:rFonts w:ascii="Arial" w:hAnsi="Arial" w:cs="Arial"/>
          <w:sz w:val="28"/>
          <w:szCs w:val="28"/>
        </w:rPr>
      </w:pPr>
      <w:r w:rsidRPr="00D92149">
        <w:rPr>
          <w:rFonts w:ascii="Arial" w:hAnsi="Arial" w:cs="Arial"/>
          <w:b/>
          <w:sz w:val="28"/>
          <w:szCs w:val="28"/>
        </w:rPr>
        <w:t>Le Ministère des Finances et du Budget</w:t>
      </w:r>
    </w:p>
    <w:p w:rsidR="00AB6B11" w:rsidRPr="00D92149" w:rsidRDefault="00AB6B11" w:rsidP="00AB6B11">
      <w:pPr>
        <w:shd w:val="clear" w:color="auto" w:fill="FFFFFF"/>
        <w:spacing w:after="0" w:line="240" w:lineRule="auto"/>
        <w:outlineLvl w:val="2"/>
        <w:rPr>
          <w:rFonts w:ascii="Arial" w:hAnsi="Arial" w:cs="Arial"/>
          <w:b/>
          <w:bCs/>
          <w:color w:val="151515"/>
          <w:sz w:val="24"/>
          <w:szCs w:val="24"/>
        </w:rPr>
      </w:pPr>
    </w:p>
    <w:p w:rsidR="00AB6B11" w:rsidRPr="00D92149" w:rsidRDefault="00AB6B11" w:rsidP="00AB6B11">
      <w:pPr>
        <w:pStyle w:val="BodyText"/>
        <w:spacing w:line="360" w:lineRule="auto"/>
        <w:jc w:val="both"/>
        <w:rPr>
          <w:rFonts w:ascii="Arial" w:hAnsi="Arial" w:cs="Arial"/>
          <w:b/>
          <w:color w:val="404040"/>
          <w:szCs w:val="24"/>
        </w:rPr>
      </w:pPr>
    </w:p>
    <w:p w:rsidR="00AB6B11" w:rsidRPr="00D92149" w:rsidRDefault="00AB6B11" w:rsidP="00AB6B11">
      <w:pPr>
        <w:jc w:val="center"/>
        <w:rPr>
          <w:rFonts w:ascii="Arial" w:hAnsi="Arial" w:cs="Arial"/>
          <w:sz w:val="24"/>
          <w:szCs w:val="24"/>
        </w:rPr>
      </w:pPr>
      <w:r w:rsidRPr="00D92149">
        <w:rPr>
          <w:rFonts w:ascii="Arial" w:hAnsi="Arial" w:cs="Arial"/>
          <w:b/>
          <w:bCs/>
          <w:color w:val="000000"/>
          <w:sz w:val="24"/>
          <w:szCs w:val="24"/>
        </w:rPr>
        <w:t>-=-=-=-=-=0=-=-=-=-=-</w:t>
      </w:r>
    </w:p>
    <w:p w:rsidR="00AB6B11" w:rsidRPr="00D92149" w:rsidRDefault="00AB6B11" w:rsidP="00AB6B11">
      <w:pPr>
        <w:rPr>
          <w:rFonts w:ascii="Arial" w:hAnsi="Arial" w:cs="Arial"/>
          <w:sz w:val="24"/>
          <w:szCs w:val="24"/>
        </w:rPr>
      </w:pPr>
    </w:p>
    <w:p w:rsidR="00AB6B11" w:rsidRPr="00D92149" w:rsidRDefault="00AB6B11" w:rsidP="00AB6B11">
      <w:pPr>
        <w:rPr>
          <w:rFonts w:ascii="Arial" w:hAnsi="Arial" w:cs="Arial"/>
          <w:sz w:val="24"/>
          <w:szCs w:val="24"/>
        </w:rPr>
      </w:pPr>
    </w:p>
    <w:p w:rsidR="0024263D" w:rsidRPr="00D92149" w:rsidRDefault="0024263D">
      <w:pPr>
        <w:rPr>
          <w:rFonts w:ascii="Arial" w:hAnsi="Arial" w:cs="Arial"/>
          <w:sz w:val="24"/>
          <w:szCs w:val="24"/>
        </w:rPr>
      </w:pPr>
    </w:p>
    <w:sectPr w:rsidR="0024263D" w:rsidRPr="00D92149" w:rsidSect="007A163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5ECC" w:rsidRDefault="00255ECC" w:rsidP="00AB6B11">
      <w:pPr>
        <w:spacing w:after="0" w:line="240" w:lineRule="auto"/>
      </w:pPr>
      <w:r>
        <w:separator/>
      </w:r>
    </w:p>
  </w:endnote>
  <w:endnote w:type="continuationSeparator" w:id="1">
    <w:p w:rsidR="00255ECC" w:rsidRDefault="00255ECC" w:rsidP="00AB6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lbertus Medium">
    <w:altName w:val="Calibri"/>
    <w:charset w:val="00"/>
    <w:family w:val="swiss"/>
    <w:pitch w:val="variable"/>
    <w:sig w:usb0="00000001" w:usb1="00000000" w:usb2="00000000" w:usb3="00000000" w:csb0="00000093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184" w:rsidRPr="006637F9" w:rsidRDefault="005F10D4" w:rsidP="003C3184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592A03"/>
        <w:sz w:val="14"/>
        <w:szCs w:val="16"/>
      </w:rPr>
    </w:pPr>
    <w:r>
      <w:rPr>
        <w:rFonts w:ascii="Arial" w:hAnsi="Arial" w:cs="Arial"/>
        <w:b/>
        <w:bCs/>
        <w:color w:val="592A03"/>
        <w:sz w:val="14"/>
        <w:szCs w:val="16"/>
      </w:rPr>
      <w:t>Min</w:t>
    </w:r>
    <w:r w:rsidR="00AB6B11">
      <w:rPr>
        <w:rFonts w:ascii="Arial" w:hAnsi="Arial" w:cs="Arial"/>
        <w:b/>
        <w:bCs/>
        <w:color w:val="592A03"/>
        <w:sz w:val="14"/>
        <w:szCs w:val="16"/>
      </w:rPr>
      <w:t>istère des Finances et du Budget</w:t>
    </w:r>
    <w:r w:rsidRPr="006637F9">
      <w:rPr>
        <w:rFonts w:ascii="Arial" w:hAnsi="Arial" w:cs="Arial"/>
        <w:b/>
        <w:bCs/>
        <w:color w:val="592A03"/>
        <w:sz w:val="14"/>
        <w:szCs w:val="16"/>
      </w:rPr>
      <w:t xml:space="preserve">, Centre Peytavin, Rue René Ndiaye X Avenue Carde Dakar, BP : 4017 : </w:t>
    </w:r>
  </w:p>
  <w:p w:rsidR="003C3184" w:rsidRPr="00115EC6" w:rsidRDefault="005F10D4" w:rsidP="003C3184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592A03"/>
        <w:sz w:val="14"/>
        <w:szCs w:val="16"/>
      </w:rPr>
    </w:pPr>
    <w:r w:rsidRPr="006637F9">
      <w:rPr>
        <w:rFonts w:ascii="Arial" w:hAnsi="Arial" w:cs="Arial"/>
        <w:b/>
        <w:bCs/>
        <w:color w:val="592A03"/>
        <w:sz w:val="14"/>
        <w:szCs w:val="16"/>
      </w:rPr>
      <w:t xml:space="preserve">Tel. : + 221 33 889 21 00 Fax : +221 33 822 70 11, Web site : </w:t>
    </w:r>
    <w:hyperlink r:id="rId1" w:history="1">
      <w:r w:rsidRPr="006637F9">
        <w:rPr>
          <w:rStyle w:val="Hyperlink"/>
          <w:b/>
          <w:bCs/>
          <w:sz w:val="14"/>
          <w:szCs w:val="16"/>
        </w:rPr>
        <w:t>www.finances.gouv.sn</w:t>
      </w:r>
    </w:hyperlink>
    <w:r w:rsidRPr="006637F9">
      <w:rPr>
        <w:rFonts w:ascii="Arial" w:hAnsi="Arial" w:cs="Arial"/>
        <w:b/>
        <w:bCs/>
        <w:color w:val="592A03"/>
        <w:sz w:val="14"/>
        <w:szCs w:val="16"/>
      </w:rPr>
      <w:t xml:space="preserve"> Email :</w:t>
    </w:r>
    <w:hyperlink r:id="rId2" w:history="1">
      <w:r w:rsidRPr="00050CDA">
        <w:rPr>
          <w:rStyle w:val="Hyperlink"/>
          <w:b/>
          <w:bCs/>
          <w:sz w:val="14"/>
          <w:szCs w:val="16"/>
        </w:rPr>
        <w:t>infos@minfinances.sn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5ECC" w:rsidRDefault="00255ECC" w:rsidP="00AB6B11">
      <w:pPr>
        <w:spacing w:after="0" w:line="240" w:lineRule="auto"/>
      </w:pPr>
      <w:r>
        <w:separator/>
      </w:r>
    </w:p>
  </w:footnote>
  <w:footnote w:type="continuationSeparator" w:id="1">
    <w:p w:rsidR="00255ECC" w:rsidRDefault="00255ECC" w:rsidP="00AB6B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64355"/>
    <w:multiLevelType w:val="hybridMultilevel"/>
    <w:tmpl w:val="8E666186"/>
    <w:lvl w:ilvl="0" w:tplc="05C6D9F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6B11"/>
    <w:rsid w:val="001E10C5"/>
    <w:rsid w:val="0024263D"/>
    <w:rsid w:val="00255ECC"/>
    <w:rsid w:val="00282F4A"/>
    <w:rsid w:val="005F10D4"/>
    <w:rsid w:val="00660D9B"/>
    <w:rsid w:val="006E2E94"/>
    <w:rsid w:val="007A1632"/>
    <w:rsid w:val="008B5A70"/>
    <w:rsid w:val="00AB6B11"/>
    <w:rsid w:val="00D92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B11"/>
    <w:pPr>
      <w:spacing w:after="120" w:line="264" w:lineRule="auto"/>
    </w:pPr>
    <w:rPr>
      <w:rFonts w:ascii="Calibri" w:eastAsia="Times New Roman" w:hAnsi="Calibri" w:cs="Times New Roman"/>
      <w:sz w:val="20"/>
      <w:szCs w:val="20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AB6B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AB6B11"/>
    <w:rPr>
      <w:color w:val="0000FF"/>
      <w:u w:val="single"/>
    </w:rPr>
  </w:style>
  <w:style w:type="paragraph" w:styleId="BodyText">
    <w:name w:val="Body Text"/>
    <w:basedOn w:val="Normal"/>
    <w:link w:val="BodyTextChar"/>
    <w:rsid w:val="00AB6B11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BodyTextChar">
    <w:name w:val="Body Text Char"/>
    <w:basedOn w:val="DefaultParagraphFont"/>
    <w:link w:val="BodyText"/>
    <w:rsid w:val="00AB6B11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AB6B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B11"/>
    <w:rPr>
      <w:rFonts w:ascii="Calibri" w:eastAsia="Times New Roman" w:hAnsi="Calibri" w:cs="Times New Roman"/>
      <w:sz w:val="20"/>
      <w:szCs w:val="20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AB6B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B11"/>
    <w:rPr>
      <w:rFonts w:ascii="Calibri" w:eastAsia="Times New Roman" w:hAnsi="Calibri" w:cs="Times New Roman"/>
      <w:sz w:val="20"/>
      <w:szCs w:val="20"/>
      <w:lang w:eastAsia="fr-FR"/>
    </w:rPr>
  </w:style>
  <w:style w:type="paragraph" w:styleId="ListParagraph">
    <w:name w:val="List Paragraph"/>
    <w:basedOn w:val="Normal"/>
    <w:uiPriority w:val="34"/>
    <w:qFormat/>
    <w:rsid w:val="00D9214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s@minfinances.sn" TargetMode="External"/><Relationship Id="rId1" Type="http://schemas.openxmlformats.org/officeDocument/2006/relationships/hyperlink" Target="http://www.finances.gouv.sn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Amadou Hafaz DIOP</dc:creator>
  <cp:lastModifiedBy>Lenovo</cp:lastModifiedBy>
  <cp:revision>2</cp:revision>
  <dcterms:created xsi:type="dcterms:W3CDTF">2019-06-19T10:53:00Z</dcterms:created>
  <dcterms:modified xsi:type="dcterms:W3CDTF">2019-06-19T10:53:00Z</dcterms:modified>
</cp:coreProperties>
</file>